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E06" w:rsidRDefault="00957E06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bookmarkStart w:id="0" w:name="_56bphr3v47rj" w:colFirst="0" w:colLast="0"/>
      <w:bookmarkEnd w:id="0"/>
    </w:p>
    <w:p w:rsidR="00957E06" w:rsidRDefault="007F0C78">
      <w:pPr>
        <w:pStyle w:val="normal0"/>
        <w:jc w:val="center"/>
        <w:rPr>
          <w:rFonts w:ascii="Lora" w:eastAsia="Lora" w:hAnsi="Lora" w:cs="Lora"/>
          <w:b/>
          <w:sz w:val="20"/>
          <w:szCs w:val="20"/>
        </w:rPr>
      </w:pPr>
      <w:bookmarkStart w:id="1" w:name="_eb01f29aamre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Vision:</w:t>
      </w:r>
      <w:r>
        <w:rPr>
          <w:rFonts w:ascii="Calibri" w:eastAsia="Calibri" w:hAnsi="Calibri" w:cs="Calibri"/>
          <w:sz w:val="22"/>
          <w:szCs w:val="22"/>
        </w:rPr>
        <w:t xml:space="preserve"> Patrick Henry is a community of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empowered learners</w:t>
      </w:r>
      <w:r>
        <w:rPr>
          <w:rFonts w:ascii="Calibri" w:eastAsia="Calibri" w:hAnsi="Calibri" w:cs="Calibri"/>
          <w:sz w:val="22"/>
          <w:szCs w:val="22"/>
        </w:rPr>
        <w:t xml:space="preserve"> that are equipped to contribute positively to society with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empathy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and </w:t>
      </w:r>
      <w:r>
        <w:rPr>
          <w:rFonts w:ascii="Lora" w:eastAsia="Lora" w:hAnsi="Lora" w:cs="Lora"/>
          <w:b/>
          <w:color w:val="85200C"/>
          <w:sz w:val="20"/>
          <w:szCs w:val="20"/>
        </w:rPr>
        <w:t>integrity</w:t>
      </w:r>
      <w:r>
        <w:rPr>
          <w:rFonts w:ascii="Lora" w:eastAsia="Lora" w:hAnsi="Lora" w:cs="Lora"/>
          <w:b/>
          <w:sz w:val="20"/>
          <w:szCs w:val="20"/>
        </w:rPr>
        <w:t>.</w:t>
      </w:r>
    </w:p>
    <w:p w:rsidR="00957E06" w:rsidRDefault="007F0C78">
      <w:pPr>
        <w:pStyle w:val="normal0"/>
        <w:spacing w:line="276" w:lineRule="auto"/>
        <w:ind w:right="1350"/>
        <w:rPr>
          <w:sz w:val="22"/>
          <w:szCs w:val="22"/>
        </w:rPr>
      </w:pP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First Grade Supply List 2019-2020</w:t>
      </w:r>
    </w:p>
    <w:p w:rsidR="00957E06" w:rsidRDefault="007F0C78">
      <w:pPr>
        <w:pStyle w:val="normal0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Lista de útiles materiales primer grado 2019 - 2020</w:t>
      </w:r>
    </w:p>
    <w:p w:rsidR="00957E06" w:rsidRDefault="007F0C78">
      <w:pPr>
        <w:pStyle w:val="normal0"/>
        <w:widowControl w:val="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*School Fee / Tarifa Escolar  -  $30.00</w:t>
      </w:r>
    </w:p>
    <w:p w:rsidR="00957E06" w:rsidRDefault="00957E06">
      <w:pPr>
        <w:pStyle w:val="normal0"/>
        <w:widowControl w:val="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one (1 inch binder) Solid color only/ un portafolio (1 pulgada)  solo colores sólidos</w:t>
      </w:r>
    </w:p>
    <w:p w:rsidR="00957E06" w:rsidRDefault="007F0C78">
      <w:pPr>
        <w:pStyle w:val="normal0"/>
        <w:widowControl w:val="0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Sheet protectors 1 pack / un paquete de protector de hojas plásticas </w:t>
      </w:r>
    </w:p>
    <w:p w:rsidR="00957E06" w:rsidRDefault="007F0C78">
      <w:pPr>
        <w:pStyle w:val="normal0"/>
        <w:widowControl w:val="0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 package of multi colored card stock / 1 paquete de cartul</w:t>
      </w:r>
      <w:r>
        <w:rPr>
          <w:b/>
          <w:sz w:val="22"/>
          <w:szCs w:val="22"/>
        </w:rPr>
        <w:t>ina multicolor</w:t>
      </w:r>
    </w:p>
    <w:p w:rsidR="00957E06" w:rsidRDefault="007F0C78" w:rsidP="007F0C78">
      <w:pPr>
        <w:pStyle w:val="normal0"/>
        <w:widowControl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pair of good quality headphones  from Target / un par de audífonos de buena calidad (preferible de </w:t>
      </w:r>
      <w:r>
        <w:rPr>
          <w:b/>
          <w:sz w:val="22"/>
          <w:szCs w:val="22"/>
        </w:rPr>
        <w:t>Target)</w:t>
      </w:r>
    </w:p>
    <w:p w:rsidR="00957E06" w:rsidRDefault="007F0C78">
      <w:pPr>
        <w:pStyle w:val="normal0"/>
        <w:widowControl w:val="0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Uniform Maroon top and dark bottom/ Uniforme con camisa granate (color vino) y pantalón/falda oscura. </w:t>
      </w:r>
    </w:p>
    <w:p w:rsidR="00957E06" w:rsidRDefault="00957E06">
      <w:pPr>
        <w:pStyle w:val="normal0"/>
        <w:widowControl w:val="0"/>
        <w:ind w:firstLine="72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2 composition notebooks (white and black)</w:t>
      </w:r>
    </w:p>
    <w:p w:rsidR="00957E06" w:rsidRDefault="007F0C78">
      <w:pPr>
        <w:pStyle w:val="normal0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2 libretas - tipo composición (blanca y negra con costura en el centro)</w:t>
      </w:r>
    </w:p>
    <w:p w:rsidR="00957E06" w:rsidRDefault="00957E06">
      <w:pPr>
        <w:pStyle w:val="normal0"/>
        <w:widowControl w:val="0"/>
        <w:ind w:left="72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2 dozen pencils sharpened</w:t>
      </w:r>
    </w:p>
    <w:p w:rsidR="00957E06" w:rsidRDefault="007F0C78">
      <w:pPr>
        <w:pStyle w:val="normal0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2 docenas de lápices</w:t>
      </w:r>
    </w:p>
    <w:p w:rsidR="00957E06" w:rsidRDefault="00957E06">
      <w:pPr>
        <w:pStyle w:val="normal0"/>
        <w:widowControl w:val="0"/>
        <w:ind w:left="72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 pack of four large glue sticks</w:t>
      </w: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tubos de pegamento</w:t>
      </w:r>
    </w:p>
    <w:p w:rsidR="00957E06" w:rsidRDefault="00957E06">
      <w:pPr>
        <w:pStyle w:val="normal0"/>
        <w:widowControl w:val="0"/>
        <w:ind w:left="72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2 packs of Xerox copy paper</w:t>
      </w:r>
    </w:p>
    <w:p w:rsidR="00957E06" w:rsidRDefault="007F0C78">
      <w:pPr>
        <w:pStyle w:val="normal0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2 paquetes de 500 hojas blancas para copias </w:t>
      </w:r>
    </w:p>
    <w:p w:rsidR="00957E06" w:rsidRDefault="00957E06">
      <w:pPr>
        <w:pStyle w:val="normal0"/>
        <w:widowControl w:val="0"/>
        <w:ind w:left="720"/>
        <w:rPr>
          <w:sz w:val="22"/>
          <w:szCs w:val="22"/>
        </w:rPr>
      </w:pPr>
    </w:p>
    <w:p w:rsidR="007F0C78" w:rsidRDefault="007F0C78" w:rsidP="007F0C78">
      <w:pPr>
        <w:pStyle w:val="normal0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 rolls of paper towel</w:t>
      </w:r>
    </w:p>
    <w:p w:rsidR="00957E06" w:rsidRDefault="007F0C78" w:rsidP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 rollos de toallas de papel</w:t>
      </w:r>
    </w:p>
    <w:p w:rsidR="00957E06" w:rsidRDefault="00957E06">
      <w:pPr>
        <w:pStyle w:val="normal0"/>
        <w:widowControl w:val="0"/>
        <w:ind w:left="720"/>
        <w:rPr>
          <w:sz w:val="22"/>
          <w:szCs w:val="22"/>
        </w:rPr>
      </w:pPr>
    </w:p>
    <w:p w:rsidR="00957E06" w:rsidRDefault="007F0C78" w:rsidP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 folder (red) for  Homework</w:t>
      </w: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1 folder con bolsillos (rojo) </w:t>
      </w:r>
    </w:p>
    <w:p w:rsidR="00957E06" w:rsidRDefault="00957E06">
      <w:pPr>
        <w:pStyle w:val="normal0"/>
        <w:widowControl w:val="0"/>
        <w:ind w:left="72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2 boxes of 8 count crayons </w:t>
      </w: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2 cajas de crayolas</w:t>
      </w:r>
    </w:p>
    <w:p w:rsidR="00957E06" w:rsidRDefault="00957E06">
      <w:pPr>
        <w:pStyle w:val="normal0"/>
        <w:widowControl w:val="0"/>
        <w:ind w:left="72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2 boxes of Kleenex</w:t>
      </w: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2 cajas de pañuelos  de papel (Kleenex)</w:t>
      </w:r>
    </w:p>
    <w:p w:rsidR="00957E06" w:rsidRDefault="00957E06">
      <w:pPr>
        <w:pStyle w:val="normal0"/>
        <w:widowControl w:val="0"/>
        <w:ind w:firstLine="72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 containers Lysol Wipes large size</w:t>
      </w: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 cajas grandes de toallitas húmedas (Lysol wipes)</w:t>
      </w:r>
    </w:p>
    <w:p w:rsidR="00957E06" w:rsidRDefault="00957E06">
      <w:pPr>
        <w:pStyle w:val="normal0"/>
        <w:widowControl w:val="0"/>
        <w:ind w:left="72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 pair of scissors</w:t>
      </w: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 par de tijeras</w:t>
      </w:r>
    </w:p>
    <w:p w:rsidR="00957E06" w:rsidRDefault="00957E06">
      <w:pPr>
        <w:pStyle w:val="normal0"/>
        <w:widowControl w:val="0"/>
        <w:ind w:left="72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 small bottle of hand</w:t>
      </w:r>
      <w:r>
        <w:rPr>
          <w:sz w:val="22"/>
          <w:szCs w:val="22"/>
        </w:rPr>
        <w:t xml:space="preserve"> sanitizer</w:t>
      </w:r>
      <w:r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 xml:space="preserve">1 botella de desinfectante de manos (hand sanitizer) </w:t>
      </w:r>
    </w:p>
    <w:p w:rsidR="00957E06" w:rsidRDefault="00957E06">
      <w:pPr>
        <w:pStyle w:val="normal0"/>
        <w:widowControl w:val="0"/>
        <w:ind w:firstLine="720"/>
        <w:rPr>
          <w:sz w:val="22"/>
          <w:szCs w:val="22"/>
        </w:rPr>
      </w:pP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 pack of skinny dry erase markers (black only)</w:t>
      </w:r>
    </w:p>
    <w:p w:rsidR="00957E06" w:rsidRDefault="007F0C78">
      <w:pPr>
        <w:pStyle w:val="normal0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1 paquete de marcadores “Dry Erase” (color negro solamente) </w:t>
      </w:r>
    </w:p>
    <w:p w:rsidR="00957E06" w:rsidRDefault="00957E06">
      <w:pPr>
        <w:pStyle w:val="normal0"/>
        <w:widowControl w:val="0"/>
        <w:ind w:left="720"/>
        <w:rPr>
          <w:sz w:val="22"/>
          <w:szCs w:val="22"/>
        </w:rPr>
      </w:pPr>
      <w:bookmarkStart w:id="2" w:name="_gjdgxs" w:colFirst="0" w:colLast="0"/>
      <w:bookmarkEnd w:id="2"/>
    </w:p>
    <w:p w:rsidR="00957E06" w:rsidRDefault="007F0C78">
      <w:pPr>
        <w:pStyle w:val="normal0"/>
        <w:spacing w:line="276" w:lineRule="auto"/>
        <w:ind w:right="135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ab/>
      </w:r>
      <w:bookmarkStart w:id="3" w:name="_GoBack"/>
      <w:bookmarkEnd w:id="3"/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</w:p>
    <w:p w:rsidR="00957E06" w:rsidRDefault="00957E06">
      <w:pPr>
        <w:pStyle w:val="normal0"/>
        <w:spacing w:line="276" w:lineRule="auto"/>
        <w:ind w:firstLine="720"/>
        <w:rPr>
          <w:rFonts w:ascii="Lora" w:eastAsia="Lora" w:hAnsi="Lora" w:cs="Lora"/>
          <w:sz w:val="20"/>
          <w:szCs w:val="20"/>
        </w:rPr>
      </w:pPr>
    </w:p>
    <w:sectPr w:rsidR="00957E06">
      <w:headerReference w:type="default" r:id="rId7"/>
      <w:pgSz w:w="12240" w:h="15840"/>
      <w:pgMar w:top="1440" w:right="360" w:bottom="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C78">
      <w:r>
        <w:separator/>
      </w:r>
    </w:p>
  </w:endnote>
  <w:endnote w:type="continuationSeparator" w:id="0">
    <w:p w:rsidR="00000000" w:rsidRDefault="007F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ora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0C78">
      <w:r>
        <w:separator/>
      </w:r>
    </w:p>
  </w:footnote>
  <w:footnote w:type="continuationSeparator" w:id="0">
    <w:p w:rsidR="00000000" w:rsidRDefault="007F0C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06" w:rsidRDefault="007F0C78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color w:val="85200C"/>
        <w:sz w:val="28"/>
        <w:szCs w:val="28"/>
      </w:rPr>
    </w:pPr>
    <w:bookmarkStart w:id="4" w:name="_iy87m821eycs" w:colFirst="0" w:colLast="0"/>
    <w:bookmarkEnd w:id="4"/>
    <w:r>
      <w:rPr>
        <w:b/>
        <w:color w:val="85200C"/>
        <w:sz w:val="28"/>
        <w:szCs w:val="28"/>
      </w:rPr>
      <w:t xml:space="preserve">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19050</wp:posOffset>
          </wp:positionV>
          <wp:extent cx="740113" cy="395288"/>
          <wp:effectExtent l="0" t="0" r="0" b="0"/>
          <wp:wrapNone/>
          <wp:docPr id="2" name="image1.jpg" descr="cpslogo_v2_5x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pslogo_v2_5x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113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6753225</wp:posOffset>
          </wp:positionH>
          <wp:positionV relativeFrom="paragraph">
            <wp:posOffset>19050</wp:posOffset>
          </wp:positionV>
          <wp:extent cx="559594" cy="671513"/>
          <wp:effectExtent l="0" t="0" r="0" b="0"/>
          <wp:wrapSquare wrapText="bothSides" distT="0" distB="0" distL="0" distR="0"/>
          <wp:docPr id="1" name="image2.jpg" descr="Red-Tailed Hawk, Flying, Bird,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ed-Tailed Hawk, Flying, Bird, ..."/>
                  <pic:cNvPicPr preferRelativeResize="0"/>
                </pic:nvPicPr>
                <pic:blipFill>
                  <a:blip r:embed="rId2"/>
                  <a:srcRect l="22727" t="9589" r="27272"/>
                  <a:stretch>
                    <a:fillRect/>
                  </a:stretch>
                </pic:blipFill>
                <pic:spPr>
                  <a:xfrm>
                    <a:off x="0" y="0"/>
                    <a:ext cx="559594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7E06" w:rsidRDefault="007F0C78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color w:val="85200C"/>
        <w:sz w:val="28"/>
        <w:szCs w:val="28"/>
      </w:rPr>
    </w:pPr>
    <w:bookmarkStart w:id="5" w:name="_f9u977nhjgm0" w:colFirst="0" w:colLast="0"/>
    <w:bookmarkEnd w:id="5"/>
    <w:r>
      <w:rPr>
        <w:b/>
        <w:color w:val="85200C"/>
        <w:sz w:val="28"/>
        <w:szCs w:val="28"/>
      </w:rPr>
      <w:t xml:space="preserve">             </w:t>
    </w:r>
    <w:r>
      <w:rPr>
        <w:b/>
        <w:color w:val="85200C"/>
        <w:sz w:val="28"/>
        <w:szCs w:val="28"/>
      </w:rPr>
      <w:t xml:space="preserve">Patrick Henry  </w:t>
    </w:r>
  </w:p>
  <w:p w:rsidR="00957E06" w:rsidRDefault="007F0C78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color w:val="A61C00"/>
      </w:rPr>
    </w:pPr>
    <w:bookmarkStart w:id="6" w:name="_ofzjk8d57ze" w:colFirst="0" w:colLast="0"/>
    <w:bookmarkEnd w:id="6"/>
    <w:r>
      <w:rPr>
        <w:b/>
        <w:color w:val="85200C"/>
        <w:sz w:val="28"/>
        <w:szCs w:val="28"/>
      </w:rPr>
      <w:t xml:space="preserve">                                                                      Elementary School</w:t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</w:p>
  <w:p w:rsidR="00957E06" w:rsidRDefault="007F0C78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bin" w:eastAsia="Cabin" w:hAnsi="Cabin" w:cs="Cabin"/>
        <w:sz w:val="16"/>
        <w:szCs w:val="16"/>
      </w:rPr>
    </w:pPr>
    <w:bookmarkStart w:id="7" w:name="_yzi9at5dh2l6" w:colFirst="0" w:colLast="0"/>
    <w:bookmarkEnd w:id="7"/>
    <w:r>
      <w:rPr>
        <w:rFonts w:ascii="Cabin" w:eastAsia="Cabin" w:hAnsi="Cabin" w:cs="Cabin"/>
        <w:sz w:val="16"/>
        <w:szCs w:val="16"/>
      </w:rPr>
      <w:t xml:space="preserve">                             4250 N. St. Louis Ave, Chicago, IL 60618 | Phone 773.534.5060 Fax 773.534.5042 | </w:t>
    </w:r>
    <w:hyperlink r:id="rId3">
      <w:r>
        <w:rPr>
          <w:rFonts w:ascii="Cabin" w:eastAsia="Cabin" w:hAnsi="Cabin" w:cs="Cabin"/>
          <w:color w:val="1155CC"/>
          <w:sz w:val="16"/>
          <w:szCs w:val="16"/>
          <w:u w:val="single"/>
        </w:rPr>
        <w:t>patrickhenryes.cps.edu</w:t>
      </w:r>
    </w:hyperlink>
  </w:p>
  <w:p w:rsidR="00957E06" w:rsidRDefault="007F0C78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bin" w:eastAsia="Cabin" w:hAnsi="Cabin" w:cs="Cabin"/>
        <w:sz w:val="16"/>
        <w:szCs w:val="16"/>
      </w:rPr>
    </w:pPr>
    <w:bookmarkStart w:id="8" w:name="_3avpyhhhfvlz" w:colFirst="0" w:colLast="0"/>
    <w:bookmarkEnd w:id="8"/>
    <w:r>
      <w:rPr>
        <w:rFonts w:ascii="Cabin" w:eastAsia="Cabin" w:hAnsi="Cabin" w:cs="Cabin"/>
        <w:sz w:val="16"/>
        <w:szCs w:val="16"/>
      </w:rPr>
      <w:t xml:space="preserve">                   Principal: Juan Gutierrez       Asst. Principal: Mary Ann Reynolds     Instructional A.P:  Lora Abraham</w:t>
    </w:r>
  </w:p>
  <w:p w:rsidR="00957E06" w:rsidRDefault="007F0C78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bin" w:eastAsia="Cabin" w:hAnsi="Cabin" w:cs="Cabin"/>
        <w:color w:val="980000"/>
        <w:sz w:val="16"/>
        <w:szCs w:val="16"/>
      </w:rPr>
    </w:pPr>
    <w:bookmarkStart w:id="9" w:name="_5gbffqumad3d" w:colFirst="0" w:colLast="0"/>
    <w:bookmarkEnd w:id="9"/>
    <w:r>
      <w:rPr>
        <w:rFonts w:ascii="Calibri" w:eastAsia="Calibri" w:hAnsi="Calibri" w:cs="Calibri"/>
      </w:rPr>
      <w:t xml:space="preserve">    </w:t>
    </w:r>
    <w:r>
      <w:rPr>
        <w:rFonts w:ascii="Calibri" w:eastAsia="Calibri" w:hAnsi="Calibri" w:cs="Calibri"/>
        <w:color w:val="980000"/>
      </w:rPr>
      <w:t xml:space="preserve"> “Everything is possible, Nothing is unimaginable!”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7E06"/>
    <w:rsid w:val="007F0C78"/>
    <w:rsid w:val="009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hyperlink" Target="http://patrickhenryes.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Macintosh Word</Application>
  <DocSecurity>0</DocSecurity>
  <Lines>13</Lines>
  <Paragraphs>3</Paragraphs>
  <ScaleCrop>false</ScaleCrop>
  <Company>Chicago Public Schools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Chicago Public Schools</cp:lastModifiedBy>
  <cp:revision>2</cp:revision>
  <dcterms:created xsi:type="dcterms:W3CDTF">2019-07-19T21:43:00Z</dcterms:created>
  <dcterms:modified xsi:type="dcterms:W3CDTF">2019-07-19T21:43:00Z</dcterms:modified>
</cp:coreProperties>
</file>